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Sedliště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00578541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292645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45">
        <w:rPr>
          <w:rFonts w:ascii="Times New Roman" w:hAnsi="Times New Roman" w:cs="Times New Roman"/>
          <w:b/>
          <w:sz w:val="28"/>
          <w:szCs w:val="28"/>
        </w:rPr>
        <w:t>Rozpočtové opatření č. 1/2017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starostou obce dne </w:t>
      </w:r>
      <w:proofErr w:type="gramStart"/>
      <w:r w:rsidR="00E108A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6402 -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E108AF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13 441</w:t>
            </w:r>
            <w:r w:rsidR="00292645"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dotace na volby do zastupitelstva kraje a do SPČR</w:t>
            </w:r>
          </w:p>
        </w:tc>
      </w:tr>
      <w:tr w:rsidR="00E108AF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AF" w:rsidRPr="00292645" w:rsidRDefault="00E108AF" w:rsidP="00E10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4359 – Ostatní služby a činnosti v oblasti sociální péče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AF" w:rsidRDefault="00E108AF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8AF" w:rsidRPr="00292645" w:rsidRDefault="00E108AF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finanční dar – Oblastní charita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Sobotka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108AF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19 44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2017-04-27T08:34:00Z</dcterms:created>
  <dcterms:modified xsi:type="dcterms:W3CDTF">2017-04-27T08:39:00Z</dcterms:modified>
</cp:coreProperties>
</file>